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B3F73"/>
          <w:sz w:val="32"/>
          <w:szCs w:val="32"/>
        </w:rPr>
        <w:t xml:space="preserve">TERMO DE REFERÊNCIA</w:t>
      </w:r>
    </w:p>
    <w:p>
      <w:pPr>
        <w:spacing w:after="300"/>
        <w:jc w:val="center"/>
      </w:pPr>
      <w:r>
        <w:rPr>
          <w:sz w:val="24"/>
          <w:szCs w:val="24"/>
        </w:rPr>
        <w:t xml:space="preserve">Contratação de serviço contínuo de </w:t>
      </w:r>
      <w:r>
        <w:rPr>
          <w:sz w:val="24"/>
          <w:szCs w:val="24"/>
          <w:highlight w:val="yellow"/>
        </w:rPr>
        <w:t xml:space="preserve">[site institucional e portal da transparência]</w:t>
      </w:r>
      <w:r>
        <w:rPr>
          <w:sz w:val="24"/>
          <w:szCs w:val="24"/>
        </w:rPr>
        <w:t xml:space="preserve">, com hospedagem, cópia de segurança, suporte técnico e publicação de conteúdo</w:t>
      </w:r>
    </w:p>
    <w:tbl>
      <w:tblPr>
        <w:tblW w:type="pct" w:w="5000"/>
        <w:tblBorders>
          <w:top w:val="single" w:color="0E6F69" w:sz="8"/>
          <w:left w:val="single" w:color="0E6F69" w:sz="8"/>
          <w:bottom w:val="single" w:color="0E6F69" w:sz="8"/>
          <w:right w:val="single" w:color="0E6F69" w:sz="8"/>
          <w:insideH w:val="single" w:color="0E6F69" w:sz="8"/>
          <w:insideV w:val="single" w:color="0E6F69" w:sz="8"/>
        </w:tblBorders>
      </w:tblPr>
      <w:tblGrid>
        <w:gridCol w:w="9354"/>
      </w:tblGrid>
      <w:tr>
        <w:tc>
          <w:tcPr>
            <w:shd w:fill="DEF2E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</w:rPr>
              <w:t xml:space="preserve">Como usar este modelo (apague esta caixa antes de juntar ao processo)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Troque tudo o que está entre </w:t>
            </w:r>
            <w:r>
              <w:rPr>
                <w:highlight w:val="yellow"/>
              </w:rPr>
              <w:t xml:space="preserve">[colchetes]</w:t>
            </w:r>
            <w:r>
              <w:t xml:space="preserve"> e destacado em amarelo pelos dados do seu órgão.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Ajuste o texto à realidade do órgão e às normas locais. Peça a revisão da assessoria jurídica ou do controle interno antes de publicar.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 estrutura segue o art. 6º, inciso XXIII, da Lei nº 14.133/2021. O nível de serviço e os descontos (itens 6 e 7) são os mais usados em contratos de TI de órgãos públicos; ajuste os números se a necessidade do órgão for diferente.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Para contratação por dispensa em razão do valor, confira o limite do ano no decreto federal que atualiza os valores da Lei nº 14.133/2021.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Modelo gratuito oferecido pelo Grupo FJJ Soluções Tecnológicas (grupofjj.com.br/kit-de-contratacao). O texto não cita nenhum fornecedor e pode ser usado em qualquer contratação.</w:t>
            </w:r>
          </w:p>
        </w:tc>
      </w:tr>
    </w:tbl>
    <w:p/>
    <w:p>
      <w:pPr>
        <w:spacing w:after="120"/>
      </w:pPr>
      <w:r>
        <w:t xml:space="preserve">Órgão: </w:t>
      </w:r>
      <w:r>
        <w:rPr>
          <w:highlight w:val="yellow"/>
        </w:rPr>
        <w:t xml:space="preserve">[nome do órgão]</w:t>
      </w:r>
      <w:r>
        <w:t xml:space="preserve">. Processo nº </w:t>
      </w:r>
      <w:r>
        <w:rPr>
          <w:highlight w:val="yellow"/>
        </w:rPr>
        <w:t xml:space="preserve">[número]</w:t>
      </w:r>
      <w:r>
        <w:t xml:space="preserve">.</w:t>
      </w:r>
    </w:p>
    <w:p>
      <w:pPr>
        <w:pStyle w:val="Heading1"/>
        <w:spacing w:after="120" w:before="320"/>
      </w:pPr>
      <w:r>
        <w:t xml:space="preserve">1. Objeto</w:t>
      </w:r>
    </w:p>
    <w:p>
      <w:pPr>
        <w:spacing w:after="120"/>
      </w:pPr>
      <w:r>
        <w:t xml:space="preserve">Contratação de empresa para prestar serviço contínuo de </w:t>
      </w:r>
      <w:r>
        <w:rPr>
          <w:highlight w:val="yellow"/>
        </w:rPr>
        <w:t xml:space="preserve">[site institucional e portal da transparência]</w:t>
      </w:r>
      <w:r>
        <w:t xml:space="preserve">, com hospedagem, cópia de segurança, suporte técnico e publicação de conteúdo, conforme as condições deste termo.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935"/>
        <w:gridCol w:w="5612"/>
        <w:gridCol w:w="1403"/>
        <w:gridCol w:w="1403"/>
      </w:tblGrid>
      <w:tr>
        <w:trPr>
          <w:tblHeader/>
        </w:trPr>
        <w:tc>
          <w:tcPr>
            <w:tcW w:type="pct" w:w="500"/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Item</w:t>
            </w:r>
          </w:p>
        </w:tc>
        <w:tc>
          <w:tcPr>
            <w:tcW w:type="pct" w:w="3000"/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Descrição</w:t>
            </w:r>
          </w:p>
        </w:tc>
        <w:tc>
          <w:tcPr>
            <w:tcW w:type="pct" w:w="750"/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Unidade</w:t>
            </w:r>
          </w:p>
        </w:tc>
        <w:tc>
          <w:tcPr>
            <w:tcW w:type="pct" w:w="750"/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Quantidade</w:t>
            </w:r>
          </w:p>
        </w:tc>
      </w:tr>
      <w:t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W w:type="pct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institucional e portal da transparência, com hospedagem, cópia de segurança, suporte e publicação de conteúdo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Mês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[12]</w:t>
            </w:r>
          </w:p>
        </w:tc>
      </w:tr>
      <w:t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W w:type="pct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Implantação (criação ou migração do conteúdo atual)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Serviço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</w:tr>
      <w:t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W w:type="pct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Treinamento dos servidores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Hora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[8]</w:t>
            </w:r>
          </w:p>
        </w:tc>
      </w:tr>
    </w:tbl>
    <w:p/>
    <w:p>
      <w:pPr>
        <w:spacing w:after="120"/>
      </w:pPr>
      <w:r>
        <w:t xml:space="preserve">Natureza: serviço comum e contínuo. Prazo: </w:t>
      </w:r>
      <w:r>
        <w:rPr>
          <w:highlight w:val="yellow"/>
        </w:rPr>
        <w:t xml:space="preserve">[12]</w:t>
      </w:r>
      <w:r>
        <w:t xml:space="preserve"> meses a contar da ordem de serviço, prorrogável nos termos dos arts. 106 e 107 da Lei nº 14.133/2021.</w:t>
      </w:r>
    </w:p>
    <w:p>
      <w:pPr>
        <w:pStyle w:val="Heading1"/>
        <w:spacing w:after="120" w:before="320"/>
      </w:pPr>
      <w:r>
        <w:t xml:space="preserve">2. Fundamentação da contratação</w:t>
      </w:r>
    </w:p>
    <w:p>
      <w:pPr>
        <w:spacing w:after="120"/>
      </w:pPr>
      <w:r>
        <w:t xml:space="preserve">A necessidade está descrita no Estudo Técnico Preliminar do processo nº </w:t>
      </w:r>
      <w:r>
        <w:rPr>
          <w:highlight w:val="yellow"/>
        </w:rPr>
        <w:t xml:space="preserve">[número]</w:t>
      </w:r>
      <w:r>
        <w:t xml:space="preserve">. </w:t>
      </w:r>
      <w:r>
        <w:rPr>
          <w:highlight w:val="yellow"/>
        </w:rPr>
        <w:t xml:space="preserve">[A contratação está prevista no plano de contratações anual, item [número]</w:t>
      </w:r>
      <w:r>
        <w:t xml:space="preserve">.]</w:t>
      </w:r>
    </w:p>
    <w:p>
      <w:pPr>
        <w:pStyle w:val="Heading1"/>
        <w:spacing w:after="120" w:before="320"/>
      </w:pPr>
      <w:r>
        <w:t xml:space="preserve">3. Descrição da solução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institucional com notícias, serviços, agenda, legislação e contato.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Portal da transparência com os itens do PNTP e da Lei de Acesso à Informação, incluindo e-SIC, ouvidoria e carta de serviços.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Hospedagem, domínio e certificado de segurança (HTTPS) mantidos pela contratada.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Cópia de segurança, monitoramento de disponibilidade e página de status aberta ao órgão.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Suporte técnico e publicação de conteúdo com os prazos do item 6.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Relatório mensal para o fiscal, no formato do anexo deste termo.</w:t>
      </w:r>
    </w:p>
    <w:p>
      <w:pPr>
        <w:pStyle w:val="Heading1"/>
        <w:spacing w:after="120" w:before="320"/>
      </w:pPr>
      <w:r>
        <w:t xml:space="preserve">4. Requisitos da contratação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Acessibilidade conforme o eMAG, a Lei nº 13.146/2015 (art. 63) e a ABNT NBR 17225: tradução para Libras, alto contraste, ajuste do tamanho da letra, navegação por teclado e texto alternativo nas imagens.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Funcionamento em celular, tablet e computador, nos navegadores atuais.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Tratamento de dados pessoais conforme a LGPD (Lei nº 13.709/2018), com contrato de tratamento de dados quando for o caso.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Todo o conteúdo e os dados pertencem ao órgão. Ao fim do contrato, a contratada entrega tudo em formato aberto, sem custo, e apoia a transição por até </w:t>
      </w:r>
      <w:r>
        <w:rPr>
          <w:highlight w:val="yellow"/>
        </w:rPr>
        <w:t xml:space="preserve">[30]</w:t>
      </w:r>
      <w:r>
        <w:t xml:space="preserve"> dias.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contratada indica um responsável técnico com telefone, WhatsApp e e-mail para contato direto.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highlight w:val="yellow"/>
        </w:rPr>
        <w:t xml:space="preserve">[Participação exclusiva de microempresas e empresas de pequeno porte, conforme o art. 48, inciso I, da Lei Complementar nº 123/2006, quando o valor permitir.]</w:t>
      </w:r>
    </w:p>
    <w:p>
      <w:pPr>
        <w:pStyle w:val="Heading1"/>
        <w:spacing w:after="120" w:before="320"/>
      </w:pPr>
      <w:r>
        <w:t xml:space="preserve">5. Modelo de execução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Implantação: site e portal no ar em até </w:t>
      </w:r>
      <w:r>
        <w:rPr>
          <w:highlight w:val="yellow"/>
        </w:rPr>
        <w:t xml:space="preserve">[30]</w:t>
      </w:r>
      <w:r>
        <w:t xml:space="preserve"> dias corridos após a ordem de serviço.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Treinamento: até </w:t>
      </w:r>
      <w:r>
        <w:rPr>
          <w:highlight w:val="yellow"/>
        </w:rPr>
        <w:t xml:space="preserve">[8]</w:t>
      </w:r>
      <w:r>
        <w:t xml:space="preserve"> horas para até </w:t>
      </w:r>
      <w:r>
        <w:rPr>
          <w:highlight w:val="yellow"/>
        </w:rPr>
        <w:t xml:space="preserve">[número]</w:t>
      </w:r>
      <w:r>
        <w:t xml:space="preserve"> servidores, presencial ou online, até </w:t>
      </w:r>
      <w:r>
        <w:rPr>
          <w:highlight w:val="yellow"/>
        </w:rPr>
        <w:t xml:space="preserve">[15]</w:t>
      </w:r>
      <w:r>
        <w:t xml:space="preserve"> dias após a implantação.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Chamados abertos por área do cliente na internet, e-mail ou telefone. Cada chamado recebe um número e o horário de abertura e de solução fica registrado.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Horário útil: segunda a sexta-feira, das 8h às 18h, exceto feriados. Chamados de gravidade crítica têm atendimento 24 horas por dia, 7 dias por semana.</w:t>
      </w:r>
    </w:p>
    <w:p>
      <w:pPr>
        <w:pStyle w:val="Heading1"/>
        <w:spacing w:after="120" w:before="320"/>
      </w:pPr>
      <w:r>
        <w:t xml:space="preserve">6. Nível de serviço exigido</w:t>
      </w:r>
    </w:p>
    <w:p>
      <w:pPr>
        <w:pStyle w:val="Heading2"/>
        <w:spacing w:after="100" w:before="200"/>
      </w:pPr>
      <w:r>
        <w:t xml:space="preserve">6.1 Prazos de atendimento e solução dos chamados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Gravidade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Exemplo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Primeiro atendimento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Solução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Crítica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ou sistema fora do ar, invasão, página adulterada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hora, 24 horas por dia, 7 dias por semana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horas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Alta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Transparência ou formulário sem funcionar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horas úteis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8 horas úteis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Média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Erro parcial, página com problema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dia útil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dias úteis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Baixa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Ajuste visual, dúvida, melhoria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dias úteis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dias úteis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Publicação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Documento, notícia ou licitação enviada pelo órgão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n/a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dia útil</w:t>
            </w:r>
          </w:p>
        </w:tc>
      </w:tr>
    </w:tbl>
    <w:p/>
    <w:p>
      <w:pPr>
        <w:spacing w:after="120"/>
      </w:pPr>
      <w:r>
        <w:t xml:space="preserve">O prazo de solução conta do registro do chamado até a solução confirmada pela contratada. Quando a solução depender de informação do órgão, o prazo fica parado enquanto a contratada aguarda, e isso fica registrado no chamado.</w:t>
      </w:r>
    </w:p>
    <w:p>
      <w:pPr>
        <w:pStyle w:val="Heading2"/>
        <w:spacing w:after="100" w:before="200"/>
      </w:pPr>
      <w:r>
        <w:t xml:space="preserve">6.2 Disponibilidade e dados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4677"/>
        <w:gridCol w:w="4677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Item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Exigência mínima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Disponibilidade mensal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99,5%, medida por monitor externo. Manutenções avisadas com 48 horas de antecedência e feitas fora do expediente não contam.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Cópia de segurança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Diária e automática, guardada por 30 dias em local separado.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Perda máxima de dados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24 horas.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Volta ao ar após um desastre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Até 4 horas.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Certificado de segurança (HTTPS)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Sempre ativo, com renovação automática.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Falha de segurança grave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Corrigida em até 48 horas após a divulgação.</w:t>
            </w:r>
          </w:p>
        </w:tc>
      </w:tr>
    </w:tbl>
    <w:p/>
    <w:p>
      <w:pPr>
        <w:spacing w:after="120"/>
      </w:pPr>
      <w:r>
        <w:t xml:space="preserve">A disponibilidade é calculada assim: (minutos do mês − minutos fora do ar) ÷ minutos do mês × 100. A medição é feita por monitor externo, com verificação a cada </w:t>
      </w:r>
      <w:r>
        <w:rPr>
          <w:highlight w:val="yellow"/>
        </w:rPr>
        <w:t xml:space="preserve">[5]</w:t>
      </w:r>
      <w:r>
        <w:t xml:space="preserve"> minutos, e o histórico fica aberto ao órgão.</w:t>
      </w:r>
    </w:p>
    <w:p>
      <w:pPr>
        <w:pStyle w:val="Heading1"/>
        <w:spacing w:after="120" w:before="320"/>
      </w:pPr>
      <w:r>
        <w:t xml:space="preserve">7. Modelo de gestão do contrato e descontos (Instrumento de Medição de Resultado)</w:t>
      </w:r>
    </w:p>
    <w:p>
      <w:pPr>
        <w:spacing w:after="120"/>
      </w:pPr>
      <w:r>
        <w:t xml:space="preserve">A contratada envia ao fiscal, até o 5º dia útil de cada mês, o relatório do mês anterior com a disponibilidade medida e a lista de chamados, com horário de abertura, de solução e a indicação de dentro ou fora do prazo.</w:t>
      </w:r>
    </w:p>
    <w:p>
      <w:pPr>
        <w:spacing w:after="120"/>
      </w:pPr>
      <w:r>
        <w:t xml:space="preserve">O fiscal confere o relatório e aplica os descontos abaixo sobre o valor mensal, sem necessidade de processo de penalidade. O desconto é ajuste de pagamento pelo serviço entregue e não impede a aplicação das sanções previstas na Lei nº 14.133/2021 em caso de falha grave.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4677"/>
        <w:gridCol w:w="4677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Disponibilidade medida no mês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 na fatura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99,5% ou mais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 99,0% a 99,49%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 98,0% a 98,99%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Abaixo de 98,0%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20%</w:t>
            </w:r>
          </w:p>
        </w:tc>
      </w:tr>
    </w:tbl>
    <w:p/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4677"/>
        <w:gridCol w:w="4677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Chamado resolvido fora do prazo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 por chamado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Crítica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Alta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0,5%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Média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0,25%</w:t>
            </w:r>
          </w:p>
        </w:tc>
      </w:tr>
    </w:tbl>
    <w:p/>
    <w:p>
      <w:pPr>
        <w:spacing w:after="120"/>
      </w:pPr>
      <w:r>
        <w:t xml:space="preserve">Os descontos se somam e ficam limitados a 20% da fatura do mês. Chegar ao limite de 20% em </w:t>
      </w:r>
      <w:r>
        <w:rPr>
          <w:highlight w:val="yellow"/>
        </w:rPr>
        <w:t xml:space="preserve">[2]</w:t>
      </w:r>
      <w:r>
        <w:t xml:space="preserve"> meses seguidos, ou em </w:t>
      </w:r>
      <w:r>
        <w:rPr>
          <w:highlight w:val="yellow"/>
        </w:rPr>
        <w:t xml:space="preserve">[3]</w:t>
      </w:r>
      <w:r>
        <w:t xml:space="preserve"> meses num período de 12, caracteriza inexecução parcial do contrato.</w:t>
      </w:r>
    </w:p>
    <w:p>
      <w:pPr>
        <w:spacing w:after="120"/>
      </w:pPr>
      <w:r>
        <w:t xml:space="preserve">Não contam para os descontos: manutenção avisada com 48 horas de antecedência e feita fora do expediente; falha causada pelo próprio órgão ou por sistema de terceiro fora do controle da contratada (por exemplo, o sistema contábil que alimenta o portal); caso fortuito ou força maior, devidamente comprovados.</w:t>
      </w:r>
    </w:p>
    <w:p>
      <w:pPr>
        <w:spacing w:after="120"/>
      </w:pPr>
      <w:r>
        <w:t xml:space="preserve">Gestor do contrato: </w:t>
      </w:r>
      <w:r>
        <w:rPr>
          <w:highlight w:val="yellow"/>
        </w:rPr>
        <w:t xml:space="preserve">[nome e cargo]</w:t>
      </w:r>
      <w:r>
        <w:t xml:space="preserve">. Fiscal do contrato: </w:t>
      </w:r>
      <w:r>
        <w:rPr>
          <w:highlight w:val="yellow"/>
        </w:rPr>
        <w:t xml:space="preserve">[nome e cargo]</w:t>
      </w:r>
      <w:r>
        <w:t xml:space="preserve"> (art. 117 da Lei nº 14.133/2021).</w:t>
      </w:r>
    </w:p>
    <w:p>
      <w:pPr>
        <w:pStyle w:val="Heading1"/>
        <w:spacing w:after="120" w:before="320"/>
      </w:pPr>
      <w:r>
        <w:t xml:space="preserve">8. Medição e pagamento</w:t>
      </w:r>
    </w:p>
    <w:p>
      <w:pPr>
        <w:spacing w:after="120"/>
      </w:pPr>
      <w:r>
        <w:t xml:space="preserve">O pagamento é mensal, em até </w:t>
      </w:r>
      <w:r>
        <w:rPr>
          <w:highlight w:val="yellow"/>
        </w:rPr>
        <w:t xml:space="preserve">[10]</w:t>
      </w:r>
      <w:r>
        <w:t xml:space="preserve"> dias úteis após o atesto da nota fiscal pelo fiscal, já descontado o valor do item 7. A implantação e o treinamento são pagos uma vez, após o aceite.</w:t>
      </w:r>
    </w:p>
    <w:p>
      <w:pPr>
        <w:pStyle w:val="Heading1"/>
        <w:spacing w:after="120" w:before="320"/>
      </w:pPr>
      <w:r>
        <w:t xml:space="preserve">9. Forma de seleção do fornecedor</w:t>
      </w:r>
    </w:p>
    <w:p>
      <w:pPr>
        <w:spacing w:after="120"/>
      </w:pPr>
      <w:r>
        <w:rPr>
          <w:highlight w:val="yellow"/>
        </w:rPr>
        <w:t xml:space="preserve">[Dispensa eletrônica em razão do valor, art. 75, inciso II, da Lei nº 14.133/2021]</w:t>
      </w:r>
      <w:r>
        <w:t xml:space="preserve"> / </w:t>
      </w:r>
      <w:r>
        <w:rPr>
          <w:highlight w:val="yellow"/>
        </w:rPr>
        <w:t xml:space="preserve">[Pregão eletrônico]</w:t>
      </w:r>
      <w:r>
        <w:t xml:space="preserve">, com critério de julgamento de menor preço </w:t>
      </w:r>
      <w:r>
        <w:rPr>
          <w:highlight w:val="yellow"/>
        </w:rPr>
        <w:t xml:space="preserve">[global]</w:t>
      </w:r>
      <w:r>
        <w:t xml:space="preserve">. Habilitação: documentos fiscais, trabalhistas e jurídicos previstos na lei e </w:t>
      </w:r>
      <w:r>
        <w:rPr>
          <w:highlight w:val="yellow"/>
        </w:rPr>
        <w:t xml:space="preserve">[atestado de capacidade técnica de serviço semelhante, se o órgão julgar necessário]</w:t>
      </w:r>
      <w:r>
        <w:t xml:space="preserve">.</w:t>
      </w:r>
    </w:p>
    <w:p>
      <w:pPr>
        <w:pStyle w:val="Heading1"/>
        <w:spacing w:after="120" w:before="320"/>
      </w:pPr>
      <w:r>
        <w:t xml:space="preserve">10. Estimativa do valor</w:t>
      </w:r>
    </w:p>
    <w:p>
      <w:pPr>
        <w:spacing w:after="120"/>
      </w:pPr>
      <w:r>
        <w:t xml:space="preserve">Valor estimado: R$ </w:t>
      </w:r>
      <w:r>
        <w:rPr>
          <w:highlight w:val="yellow"/>
        </w:rPr>
        <w:t xml:space="preserve">[valor mensal]</w:t>
      </w:r>
      <w:r>
        <w:t xml:space="preserve"> por mês, R$ </w:t>
      </w:r>
      <w:r>
        <w:rPr>
          <w:highlight w:val="yellow"/>
        </w:rPr>
        <w:t xml:space="preserve">[valor total]</w:t>
      </w:r>
      <w:r>
        <w:t xml:space="preserve"> no total, conforme a pesquisa de preços do processo.</w:t>
      </w:r>
    </w:p>
    <w:p>
      <w:pPr>
        <w:pStyle w:val="Heading1"/>
        <w:spacing w:after="120" w:before="320"/>
      </w:pPr>
      <w:r>
        <w:t xml:space="preserve">11. Adequação orçamentária</w:t>
      </w:r>
    </w:p>
    <w:p>
      <w:pPr>
        <w:spacing w:after="120"/>
      </w:pPr>
      <w:r>
        <w:t xml:space="preserve">A despesa correrá pela dotação </w:t>
      </w:r>
      <w:r>
        <w:rPr>
          <w:highlight w:val="yellow"/>
        </w:rPr>
        <w:t xml:space="preserve">[unidade orçamentária, programa de trabalho, elemento de despesa e fonte de recurso]</w:t>
      </w:r>
      <w:r>
        <w:t xml:space="preserve">.</w:t>
      </w:r>
    </w:p>
    <w:p>
      <w:pPr>
        <w:spacing w:after="120"/>
      </w:pPr>
      <w:r>
        <w:rPr>
          <w:highlight w:val="yellow"/>
        </w:rPr>
        <w:t xml:space="preserve">[Cidade]</w:t>
      </w:r>
      <w:r>
        <w:t xml:space="preserve">, </w:t>
      </w:r>
      <w:r>
        <w:rPr>
          <w:highlight w:val="yellow"/>
        </w:rPr>
        <w:t xml:space="preserve">[dia]</w:t>
      </w:r>
      <w:r>
        <w:t xml:space="preserve">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.</w:t>
      </w:r>
    </w:p>
    <w:p>
      <w:pPr>
        <w:spacing w:before="720"/>
        <w:jc w:val="center"/>
      </w:pPr>
      <w:r>
        <w:t xml:space="preserve">_______________________________________</w:t>
      </w:r>
    </w:p>
    <w:p>
      <w:pPr>
        <w:jc w:val="center"/>
      </w:pPr>
      <w:r>
        <w:rPr>
          <w:highlight w:val="yellow"/>
        </w:rPr>
        <w:t xml:space="preserve">[Nome completo]</w:t>
      </w:r>
    </w:p>
    <w:p>
      <w:pPr>
        <w:jc w:val="center"/>
      </w:pPr>
      <w:r>
        <w:rPr>
          <w:highlight w:val="yellow"/>
        </w:rPr>
        <w:t xml:space="preserve">[Cargo]</w:t>
      </w:r>
      <w:r>
        <w:t xml:space="preserve"> (responsável pelo termo de referência)</w:t>
      </w:r>
    </w:p>
    <w:p>
      <w:pPr>
        <w:jc w:val="center"/>
      </w:pPr>
      <w:r>
        <w:rPr>
          <w:highlight w:val="yellow"/>
        </w:rPr>
        <w:t xml:space="preserve">[Matrícula]</w:t>
      </w:r>
    </w:p>
    <w:sectPr>
      <w:footerReference w:type="default" r:id="rId6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A5A6C"/>
        <w:sz w:val="18"/>
        <w:szCs w:val="18"/>
      </w:rPr>
      <w:t xml:space="preserve">Termo de Referência · página </w:t>
    </w:r>
    <w:r>
      <w:rPr>
        <w:color w:val="4A5A6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1B3F73"/>
      <w:sz w:val="26"/>
      <w:szCs w:val="26"/>
    </w:rPr>
  </w:style>
  <w:style w:type="paragraph" w:styleId="Heading2">
    <w:name w:val="Heading 2"/>
    <w:basedOn w:val="Normal"/>
    <w:next w:val="Normal"/>
    <w:qFormat/>
    <w:rPr>
      <w:b/>
      <w:bCs/>
      <w:color w:val="1B3F73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</dc:title>
  <dc:creator>Modelo para órgãos públicos</dc:creator>
  <cp:lastModifiedBy>Un-named</cp:lastModifiedBy>
  <cp:revision>1</cp:revision>
  <dcterms:created xsi:type="dcterms:W3CDTF">2026-10-22T13:16:35.871Z</dcterms:created>
  <dcterms:modified xsi:type="dcterms:W3CDTF">2026-10-22T13:16:35.872Z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